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Pr="0035003D" w:rsidRDefault="008C007D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  <w:bookmarkStart w:id="0" w:name="_GoBack"/>
      <w:r w:rsidRPr="0035003D">
        <w:rPr>
          <w:rFonts w:eastAsia="Times New Roman" w:cstheme="minorHAnsi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35003D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Pr="0035003D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35003D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35003D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:rsidRPr="0035003D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Pr="0035003D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  <w:tr w:rsidR="00C600AC" w:rsidRPr="0035003D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sdt>
            <w:sdtPr>
              <w:rPr>
                <w:rFonts w:cstheme="minorHAnsi"/>
                <w:b/>
                <w:sz w:val="56"/>
              </w:rPr>
              <w:id w:val="-626009434"/>
              <w:placeholder>
                <w:docPart w:val="5DA2336BB9BD42F78D25ACFAF71477DA"/>
              </w:placeholder>
            </w:sdtPr>
            <w:sdtEndPr/>
            <w:sdtContent>
              <w:p w14:paraId="3CD8F185" w14:textId="1C037479" w:rsidR="003E1DC9" w:rsidRPr="0035003D" w:rsidRDefault="00AC1A3B" w:rsidP="008A1061">
                <w:pPr>
                  <w:pStyle w:val="NoSpacing"/>
                  <w:jc w:val="center"/>
                  <w:rPr>
                    <w:rFonts w:cstheme="minorHAnsi"/>
                    <w:b/>
                    <w:sz w:val="56"/>
                  </w:rPr>
                </w:pPr>
                <w:r w:rsidRPr="0035003D">
                  <w:rPr>
                    <w:rFonts w:cstheme="minorHAnsi"/>
                    <w:b/>
                    <w:sz w:val="56"/>
                  </w:rPr>
                  <w:t>352- The World is my Oyster: Painting Underwater Scenes</w:t>
                </w:r>
              </w:p>
            </w:sdtContent>
          </w:sdt>
          <w:p w14:paraId="6055CE0A" w14:textId="56CE4726" w:rsidR="004A0335" w:rsidRPr="0035003D" w:rsidRDefault="004A0335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1C7A360F" w:rsidR="004A0335" w:rsidRPr="0035003D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35003D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proofErr w:type="spellStart"/>
                    <w:r w:rsidR="008A1061" w:rsidRPr="0035003D">
                      <w:rPr>
                        <w:rFonts w:cstheme="minorHAnsi"/>
                        <w:color w:val="000000"/>
                        <w:sz w:val="24"/>
                        <w:szCs w:val="24"/>
                        <w:shd w:val="clear" w:color="auto" w:fill="FFFFFF"/>
                      </w:rPr>
                      <w:t>Sandie</w:t>
                    </w:r>
                    <w:proofErr w:type="spellEnd"/>
                    <w:r w:rsidR="008A1061" w:rsidRPr="0035003D">
                      <w:rPr>
                        <w:rFonts w:cstheme="minorHAnsi"/>
                        <w:color w:val="000000"/>
                        <w:sz w:val="24"/>
                        <w:szCs w:val="24"/>
                        <w:shd w:val="clear" w:color="auto" w:fill="FFFFFF"/>
                      </w:rPr>
                      <w:t xml:space="preserve"> Bacon</w:t>
                    </w:r>
                  </w:sdtContent>
                </w:sdt>
              </w:p>
            </w:sdtContent>
          </w:sdt>
          <w:p w14:paraId="3B0894D0" w14:textId="77777777" w:rsidR="00C600AC" w:rsidRPr="0035003D" w:rsidRDefault="00C600AC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165862FA" w:rsidR="00C600AC" w:rsidRPr="0035003D" w:rsidRDefault="00F14FDB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  <w:color w:val="595959" w:themeColor="text1" w:themeTint="A6"/>
                    </w:rPr>
                    <w:id w:val="1023681463"/>
                    <w:placeholder>
                      <w:docPart w:val="C899D7D3F8954416959F0BEDFC61889C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DF6C30" w:rsidRPr="0035003D">
                      <w:rPr>
                        <w:rFonts w:cstheme="minorHAnsi"/>
                        <w:color w:val="595959" w:themeColor="text1" w:themeTint="A6"/>
                      </w:rPr>
                      <w:t>sandiebacon1@gmail.com</w:t>
                    </w:r>
                  </w:sdtContent>
                </w:sdt>
                <w:r w:rsidR="00731790" w:rsidRPr="0035003D">
                  <w:rPr>
                    <w:rFonts w:cstheme="minorHAnsi"/>
                  </w:rPr>
                  <w:t xml:space="preserve"> </w:t>
                </w:r>
              </w:p>
            </w:sdtContent>
          </w:sdt>
          <w:p w14:paraId="21172A39" w14:textId="77777777" w:rsidR="003E1DC9" w:rsidRPr="0035003D" w:rsidRDefault="003E1DC9" w:rsidP="00C600AC">
            <w:pPr>
              <w:pStyle w:val="NoSpacing"/>
              <w:rPr>
                <w:rFonts w:cstheme="minorHAnsi"/>
              </w:rPr>
            </w:pPr>
          </w:p>
          <w:p w14:paraId="16A3561F" w14:textId="60CA7DD7" w:rsidR="00C600AC" w:rsidRPr="0035003D" w:rsidRDefault="00C600AC" w:rsidP="00C600AC">
            <w:pPr>
              <w:pStyle w:val="NoSpacing"/>
              <w:rPr>
                <w:rFonts w:cstheme="minorHAnsi"/>
              </w:rPr>
            </w:pPr>
          </w:p>
          <w:p w14:paraId="4175E61C" w14:textId="77777777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14C8371" w14:textId="77777777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BC5CEC8" w14:textId="41F45470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color w:val="000000"/>
                <w:sz w:val="24"/>
                <w:szCs w:val="24"/>
              </w:rPr>
              <w:t>Set of Acrylic Paints:</w:t>
            </w:r>
            <w:r w:rsidRPr="0035003D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35003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Golden Heavy Body Artist Acrylic Set</w:t>
              </w:r>
            </w:hyperlink>
            <w:r w:rsidRPr="0035003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 </w:t>
            </w: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Introductory Set of 6or equivalent. </w:t>
            </w:r>
          </w:p>
          <w:p w14:paraId="4EEF28E9" w14:textId="77777777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51775848" w14:textId="739C517D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noProof/>
                <w:color w:val="000000" w:themeColor="text1"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0A424056" wp14:editId="013C5C81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2266950</wp:posOffset>
                  </wp:positionV>
                  <wp:extent cx="714375" cy="714375"/>
                  <wp:effectExtent l="0" t="0" r="9525" b="9525"/>
                  <wp:wrapSquare wrapText="bothSides"/>
                  <wp:docPr id="1" name="Picture 1" descr="00620-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620-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  <w:u w:val="single"/>
                </w:rPr>
                <w:t>I</w:t>
              </w:r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deal for beginners and artists on the go, this compact set includes 0.75 </w:t>
              </w:r>
              <w:proofErr w:type="spellStart"/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>oz</w:t>
              </w:r>
              <w:proofErr w:type="spellEnd"/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 (22 ml) tubes of </w:t>
              </w:r>
              <w:proofErr w:type="spellStart"/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>Benzimidazolone</w:t>
              </w:r>
              <w:proofErr w:type="spellEnd"/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 Yellow Medium, Mars Black, </w:t>
              </w:r>
              <w:proofErr w:type="spellStart"/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>Naphthol</w:t>
              </w:r>
              <w:proofErr w:type="spellEnd"/>
              <w:r w:rsidRPr="0035003D">
                <w:rPr>
                  <w:rFonts w:eastAsia="Times New Roman" w:cstheme="minorHAnsi"/>
                  <w:color w:val="000000" w:themeColor="text1"/>
                  <w:sz w:val="18"/>
                  <w:szCs w:val="18"/>
                </w:rPr>
                <w:t xml:space="preserve"> Red Light, Permanent Green Light, Titanium White, and Ultramarine Blue.</w:t>
              </w:r>
            </w:hyperlink>
          </w:p>
          <w:p w14:paraId="30930CB5" w14:textId="193828AB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            </w:t>
            </w:r>
          </w:p>
          <w:p w14:paraId="6773CBBF" w14:textId="5D000901" w:rsidR="008A1061" w:rsidRPr="0035003D" w:rsidRDefault="008A1061" w:rsidP="008A106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5003D">
              <w:rPr>
                <w:rFonts w:asciiTheme="minorHAnsi" w:hAnsiTheme="minorHAnsi" w:cstheme="minorHAnsi"/>
              </w:rPr>
              <w:t>           NOTE:</w:t>
            </w:r>
            <w:r w:rsidRPr="003500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Teacher will supply a few gels and pastes to be picked up</w:t>
            </w:r>
            <w:r w:rsidR="00AC1A3B" w:rsidRPr="003500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and an assortment of interference colors, texture paints. . .</w:t>
            </w:r>
          </w:p>
          <w:p w14:paraId="145B3620" w14:textId="14424D72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  <w:p w14:paraId="4EA1C63C" w14:textId="77777777" w:rsidR="008A1061" w:rsidRPr="0035003D" w:rsidRDefault="008A1061" w:rsidP="008A1061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  <w:p w14:paraId="289E3F24" w14:textId="592777D0" w:rsidR="008A1061" w:rsidRPr="0035003D" w:rsidRDefault="00AC1A3B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5</w:t>
            </w:r>
            <w:r w:rsidR="00DF6C30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small canvases (8 x 10” or 9 </w:t>
            </w:r>
            <w:r w:rsidR="008A1061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x 12”</w:t>
            </w:r>
            <w:r w:rsidR="00DF6C30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  <w:r w:rsidR="008A1061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8A1061" w:rsidRPr="0035003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Or</w:t>
            </w: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5</w:t>
            </w:r>
            <w:r w:rsidR="008A1061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small Ampersand panels </w:t>
            </w:r>
            <w:r w:rsidR="00DF6C30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="008A1061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same dimensions</w:t>
            </w:r>
            <w:r w:rsidR="00DF6C30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)</w:t>
            </w:r>
          </w:p>
          <w:p w14:paraId="59E91268" w14:textId="77777777" w:rsidR="008A1061" w:rsidRPr="0035003D" w:rsidRDefault="008A1061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D7400D0" w14:textId="77777777" w:rsidR="008A1061" w:rsidRPr="0035003D" w:rsidRDefault="008A1061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A variety of acrylic brushes</w:t>
            </w:r>
          </w:p>
          <w:p w14:paraId="0D9C15AB" w14:textId="77777777" w:rsidR="008A1061" w:rsidRPr="0035003D" w:rsidRDefault="008A1061" w:rsidP="008A1061">
            <w:pPr>
              <w:shd w:val="clear" w:color="auto" w:fill="FFFFFF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0CE68404" w14:textId="32A81430" w:rsidR="00DF6C30" w:rsidRPr="0035003D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Pencils </w:t>
            </w:r>
          </w:p>
          <w:p w14:paraId="751B4E14" w14:textId="77777777" w:rsidR="00DF6C30" w:rsidRPr="0035003D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46500E05" w14:textId="026332FF" w:rsidR="008A1061" w:rsidRPr="0035003D" w:rsidRDefault="00DF6C30" w:rsidP="008A1061">
            <w:pPr>
              <w:shd w:val="clear" w:color="auto" w:fill="FFFFFF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P</w:t>
            </w:r>
            <w:r w:rsidR="008A1061" w:rsidRPr="0035003D">
              <w:rPr>
                <w:rFonts w:eastAsia="Times New Roman" w:cstheme="minorHAnsi"/>
                <w:color w:val="000000"/>
                <w:sz w:val="21"/>
                <w:szCs w:val="21"/>
              </w:rPr>
              <w:t>aper to sketch with (i.e. copy paper)</w:t>
            </w:r>
          </w:p>
          <w:p w14:paraId="56325B7B" w14:textId="70FAA554" w:rsidR="00AC1A3B" w:rsidRPr="0035003D" w:rsidRDefault="00AC1A3B" w:rsidP="00AC1A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191A39EA" w14:textId="5DBDD21C" w:rsidR="00731790" w:rsidRPr="0035003D" w:rsidRDefault="00731790" w:rsidP="008A1061">
            <w:pPr>
              <w:spacing w:after="240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14:paraId="132B92D8" w14:textId="77777777" w:rsidR="00C600AC" w:rsidRPr="0035003D" w:rsidRDefault="00C600AC" w:rsidP="008A1061">
            <w:pPr>
              <w:ind w:left="720"/>
              <w:rPr>
                <w:rFonts w:cstheme="minorHAnsi"/>
              </w:rPr>
            </w:pPr>
          </w:p>
        </w:tc>
      </w:tr>
      <w:bookmarkEnd w:id="0"/>
    </w:tbl>
    <w:p w14:paraId="3C1AE120" w14:textId="6E3B6250" w:rsidR="000F1883" w:rsidRPr="0035003D" w:rsidRDefault="000F1883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</w:p>
    <w:sectPr w:rsidR="000F1883" w:rsidRPr="0035003D" w:rsidSect="000F18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47E9" w14:textId="77777777" w:rsidR="00F14FDB" w:rsidRDefault="00F14FDB" w:rsidP="00F10208">
      <w:pPr>
        <w:spacing w:after="0" w:line="240" w:lineRule="auto"/>
      </w:pPr>
      <w:r>
        <w:separator/>
      </w:r>
    </w:p>
  </w:endnote>
  <w:endnote w:type="continuationSeparator" w:id="0">
    <w:p w14:paraId="00FFA39D" w14:textId="77777777" w:rsidR="00F14FDB" w:rsidRDefault="00F14FDB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0CAC" w14:textId="77777777" w:rsidR="00F14FDB" w:rsidRDefault="00F14FDB" w:rsidP="00F10208">
      <w:pPr>
        <w:spacing w:after="0" w:line="240" w:lineRule="auto"/>
      </w:pPr>
      <w:r>
        <w:separator/>
      </w:r>
    </w:p>
  </w:footnote>
  <w:footnote w:type="continuationSeparator" w:id="0">
    <w:p w14:paraId="6C440B08" w14:textId="77777777" w:rsidR="00F14FDB" w:rsidRDefault="00F14FDB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A6EEF"/>
    <w:rsid w:val="00313C37"/>
    <w:rsid w:val="00342B62"/>
    <w:rsid w:val="0035003D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40E42"/>
    <w:rsid w:val="00575C9C"/>
    <w:rsid w:val="005A104D"/>
    <w:rsid w:val="006A50F3"/>
    <w:rsid w:val="00716212"/>
    <w:rsid w:val="00731790"/>
    <w:rsid w:val="00734B71"/>
    <w:rsid w:val="00734DBD"/>
    <w:rsid w:val="00745AFA"/>
    <w:rsid w:val="00776B28"/>
    <w:rsid w:val="007A3312"/>
    <w:rsid w:val="007B67CD"/>
    <w:rsid w:val="008248AB"/>
    <w:rsid w:val="008A1061"/>
    <w:rsid w:val="008C007D"/>
    <w:rsid w:val="009A185D"/>
    <w:rsid w:val="00A20338"/>
    <w:rsid w:val="00A725B9"/>
    <w:rsid w:val="00AC1A3B"/>
    <w:rsid w:val="00AE0F1F"/>
    <w:rsid w:val="00B82F01"/>
    <w:rsid w:val="00B947C2"/>
    <w:rsid w:val="00C10D7D"/>
    <w:rsid w:val="00C1633F"/>
    <w:rsid w:val="00C600AC"/>
    <w:rsid w:val="00C9355A"/>
    <w:rsid w:val="00CC4CC8"/>
    <w:rsid w:val="00D40F8F"/>
    <w:rsid w:val="00DF6C30"/>
    <w:rsid w:val="00E55CF0"/>
    <w:rsid w:val="00E82D7F"/>
    <w:rsid w:val="00ED03EB"/>
    <w:rsid w:val="00EF0B99"/>
    <w:rsid w:val="00EF13AB"/>
    <w:rsid w:val="00F10208"/>
    <w:rsid w:val="00F14FDB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kblick.com/items/00620-103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dickblick.com/items/golden-heavy-body-artist-acrylic-set-introductory-set-75-oz-tub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2336BB9BD42F78D25ACFAF71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62E4-DF99-45D3-A3EA-7D4636E6702F}"/>
      </w:docPartPr>
      <w:docPartBody>
        <w:p w:rsidR="000C1252" w:rsidRDefault="00C07691" w:rsidP="00C07691">
          <w:pPr>
            <w:pStyle w:val="5DA2336BB9BD42F78D25ACFAF71477DA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0C1252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0C1252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0C1252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899D7D3F8954416959F0BEDFC6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2B55-99B7-474B-8743-90860FC2CE0F}"/>
      </w:docPartPr>
      <w:docPartBody>
        <w:p w:rsidR="000C1252" w:rsidRDefault="00C07691" w:rsidP="00C07691">
          <w:pPr>
            <w:pStyle w:val="C899D7D3F8954416959F0BEDFC61889C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0C1252"/>
    <w:rsid w:val="0033773A"/>
    <w:rsid w:val="0079407A"/>
    <w:rsid w:val="009800E7"/>
    <w:rsid w:val="00B74A02"/>
    <w:rsid w:val="00C07691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99DF-A54B-43FD-A0CE-C3F44A54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3</cp:revision>
  <dcterms:created xsi:type="dcterms:W3CDTF">2020-11-17T18:34:00Z</dcterms:created>
  <dcterms:modified xsi:type="dcterms:W3CDTF">2020-11-17T21:18:00Z</dcterms:modified>
</cp:coreProperties>
</file>